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03560ABE"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Terms &amp; Condition</w:t>
      </w:r>
      <w:r w:rsidRPr="00DE2181">
        <w:rPr>
          <w:rFonts w:asciiTheme="minorHAnsi" w:eastAsiaTheme="minorEastAsia" w:hAnsiTheme="minorHAnsi" w:cstheme="minorBidi"/>
          <w:b/>
          <w:bCs/>
          <w:color w:val="auto"/>
          <w:sz w:val="24"/>
          <w:szCs w:val="24"/>
        </w:rPr>
        <w:t>s</w:t>
      </w:r>
      <w:r w:rsidR="3F7061E6" w:rsidRPr="00DE2181">
        <w:rPr>
          <w:rFonts w:asciiTheme="minorHAnsi" w:eastAsiaTheme="minorEastAsia" w:hAnsiTheme="minorHAnsi" w:cstheme="minorBidi"/>
          <w:b/>
          <w:bCs/>
          <w:color w:val="auto"/>
          <w:sz w:val="24"/>
          <w:szCs w:val="24"/>
        </w:rPr>
        <w:t xml:space="preserve"> – </w:t>
      </w:r>
      <w:r w:rsidR="00711C38">
        <w:rPr>
          <w:rFonts w:asciiTheme="minorHAnsi" w:eastAsiaTheme="minorEastAsia" w:hAnsiTheme="minorHAnsi" w:cstheme="minorBidi"/>
          <w:b/>
          <w:bCs/>
          <w:color w:val="auto"/>
          <w:sz w:val="24"/>
          <w:szCs w:val="24"/>
        </w:rPr>
        <w:t>The Martins Funeral Directors</w:t>
      </w:r>
      <w:r w:rsidR="00DE2181" w:rsidRPr="00DE2181">
        <w:rPr>
          <w:rFonts w:asciiTheme="minorHAnsi" w:eastAsiaTheme="minorEastAsia" w:hAnsiTheme="minorHAnsi" w:cstheme="minorBidi"/>
          <w:b/>
          <w:bCs/>
          <w:color w:val="auto"/>
          <w:sz w:val="24"/>
          <w:szCs w:val="24"/>
        </w:rPr>
        <w:t xml:space="preserve"> </w:t>
      </w:r>
      <w:r w:rsidR="3F7061E6" w:rsidRPr="0D80D5E3">
        <w:rPr>
          <w:rFonts w:asciiTheme="minorHAnsi" w:eastAsiaTheme="minorEastAsia" w:hAnsiTheme="minorHAnsi" w:cstheme="minorBidi"/>
          <w:b/>
          <w:bCs/>
          <w:color w:val="auto"/>
          <w:sz w:val="24"/>
          <w:szCs w:val="24"/>
        </w:rPr>
        <w:t>Community Fund</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02135A1E" w:rsidR="00BB5008" w:rsidRPr="00BB5008" w:rsidRDefault="00711C38" w:rsidP="00BB5008">
      <w:pPr>
        <w:rPr>
          <w:lang w:val="en-US"/>
        </w:rPr>
      </w:pPr>
      <w:r>
        <w:rPr>
          <w:lang w:val="en-US"/>
        </w:rPr>
        <w:t>The Martins Funeral Directors</w:t>
      </w:r>
      <w:r w:rsidR="008F0A6C" w:rsidRPr="008F0A6C">
        <w:rPr>
          <w:lang w:val="en-US"/>
        </w:rPr>
        <w:t xml:space="preserve"> Funeral Directors </w:t>
      </w:r>
      <w:r w:rsidR="00BB5008" w:rsidRPr="00BB5008">
        <w:rPr>
          <w:lang w:val="en-US"/>
        </w:rPr>
        <w:t>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Applicants must ensure that their activities do not unlawfully discriminate against protected groups, including: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7C1FC925" w:rsidR="004A1E43" w:rsidRDefault="65580281" w:rsidP="0D80D5E3">
      <w:pPr>
        <w:spacing w:before="240" w:after="240"/>
      </w:pPr>
      <w:r w:rsidRPr="0D80D5E3">
        <w:t xml:space="preserve">2.1 </w:t>
      </w:r>
      <w:r w:rsidR="00DD5613">
        <w:t xml:space="preserve">The Community Fund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5B0923">
        <w:t>3</w:t>
      </w:r>
      <w:r w:rsidR="00C96563">
        <w:t xml:space="preserve"> miles</w:t>
      </w:r>
      <w:r w:rsidR="00AF069C">
        <w:t xml:space="preserve"> of </w:t>
      </w:r>
      <w:r w:rsidR="00711C38">
        <w:rPr>
          <w:lang w:val="en-US"/>
        </w:rPr>
        <w:t>The Martins</w:t>
      </w:r>
      <w:r w:rsidR="005B0923" w:rsidRPr="008F0A6C">
        <w:rPr>
          <w:lang w:val="en-US"/>
        </w:rPr>
        <w:t xml:space="preserve">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092E14E4" w14:textId="6941786A" w:rsidR="00891BD9"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891BD9">
        <w:t>m</w:t>
      </w:r>
      <w:r w:rsidR="00FA5A1F">
        <w:t>, Application Guide and the Terms and C</w:t>
      </w:r>
      <w:r w:rsidR="002269AE">
        <w:t xml:space="preserve">onditions from </w:t>
      </w:r>
      <w:r w:rsidR="00711C38">
        <w:rPr>
          <w:lang w:val="en-US"/>
        </w:rPr>
        <w:t>The Martins</w:t>
      </w:r>
      <w:r w:rsidR="00891BD9" w:rsidRPr="008F0A6C">
        <w:rPr>
          <w:lang w:val="en-US"/>
        </w:rPr>
        <w:t xml:space="preserve"> Funeral Directors </w:t>
      </w:r>
      <w:r w:rsidR="002269AE">
        <w:t xml:space="preserve">website </w:t>
      </w:r>
    </w:p>
    <w:p w14:paraId="2266192E" w14:textId="79E65A67" w:rsidR="002269AE" w:rsidRDefault="002269AE" w:rsidP="0D80D5E3">
      <w:pPr>
        <w:spacing w:before="240" w:after="240"/>
      </w:pPr>
      <w:r>
        <w:t>2.</w:t>
      </w:r>
      <w:r w:rsidR="00006CE5">
        <w:t>4</w:t>
      </w:r>
      <w:r>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711C38">
        <w:rPr>
          <w:lang w:val="en-US"/>
        </w:rPr>
        <w:t>The Martins</w:t>
      </w:r>
      <w:r w:rsidR="00891BD9" w:rsidRPr="008F0A6C">
        <w:rPr>
          <w:lang w:val="en-US"/>
        </w:rPr>
        <w:t xml:space="preserve"> Funeral Directors </w:t>
      </w:r>
      <w:r w:rsidR="00F83A7C">
        <w:t xml:space="preserve">website </w:t>
      </w:r>
      <w:r w:rsidR="00CE0ED5">
        <w:t xml:space="preserve">at start of the current funding cycle). Applications submitted on old Application Forms will be declined. </w:t>
      </w:r>
      <w:r w:rsidR="00711C38">
        <w:rPr>
          <w:lang w:val="en-US"/>
        </w:rPr>
        <w:t>The Martins</w:t>
      </w:r>
      <w:r w:rsidR="00891BD9" w:rsidRPr="008F0A6C">
        <w:rPr>
          <w:lang w:val="en-US"/>
        </w:rPr>
        <w:t xml:space="preserve"> Funeral Directors </w:t>
      </w:r>
      <w:r w:rsidR="004960B6">
        <w:t xml:space="preserve">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51417137" w:rsidR="00407AE3" w:rsidRDefault="65580281" w:rsidP="0D80D5E3">
      <w:pPr>
        <w:spacing w:before="240" w:after="240"/>
      </w:pPr>
      <w:r w:rsidRPr="0D80D5E3">
        <w:t>2.</w:t>
      </w:r>
      <w:r w:rsidR="00006CE5">
        <w:t>6</w:t>
      </w:r>
      <w:r w:rsidRPr="0D80D5E3">
        <w:t xml:space="preserve"> In determining awards, </w:t>
      </w:r>
      <w:r w:rsidR="00711C38">
        <w:rPr>
          <w:lang w:val="en-US"/>
        </w:rPr>
        <w:t>The Martins</w:t>
      </w:r>
      <w:r w:rsidR="00A17D77" w:rsidRPr="008F0A6C">
        <w:rPr>
          <w:lang w:val="en-US"/>
        </w:rPr>
        <w:t xml:space="preserve"> Funeral Directors </w:t>
      </w:r>
      <w:r w:rsidRPr="0D80D5E3">
        <w:t>will consider (but not be limited to):</w:t>
      </w:r>
    </w:p>
    <w:p w14:paraId="37F3F1A4" w14:textId="6C811BAD"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711C38">
        <w:rPr>
          <w:lang w:val="en-US"/>
        </w:rPr>
        <w:t>The Martins</w:t>
      </w:r>
      <w:r w:rsidR="00A17D77" w:rsidRPr="008F0A6C">
        <w:rPr>
          <w:lang w:val="en-US"/>
        </w:rPr>
        <w:t xml:space="preserve"> </w:t>
      </w:r>
      <w:r w:rsidR="00A17D77">
        <w:rPr>
          <w:lang w:val="en-US"/>
        </w:rPr>
        <w:t>Community Fund</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79933A38" w:rsidR="00A61698" w:rsidRPr="00A61698" w:rsidRDefault="65580281" w:rsidP="00A61698">
      <w:pPr>
        <w:spacing w:before="240" w:after="240"/>
      </w:pPr>
      <w:r w:rsidRPr="0D80D5E3">
        <w:t>2.</w:t>
      </w:r>
      <w:r w:rsidR="00006CE5">
        <w:t>7</w:t>
      </w:r>
      <w:r w:rsidRPr="0D80D5E3">
        <w:t xml:space="preserve"> </w:t>
      </w:r>
      <w:r w:rsidR="00711C38">
        <w:rPr>
          <w:lang w:val="en-US"/>
        </w:rPr>
        <w:t>The Martins</w:t>
      </w:r>
      <w:r w:rsidR="00D2558A" w:rsidRPr="008F0A6C">
        <w:rPr>
          <w:lang w:val="en-US"/>
        </w:rPr>
        <w:t xml:space="preserve"> Funeral Directors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75BBFABA"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711C38">
        <w:rPr>
          <w:lang w:val="en-US"/>
        </w:rPr>
        <w:t>The Martins</w:t>
      </w:r>
      <w:r w:rsidR="00EF7232" w:rsidRPr="008F0A6C">
        <w:rPr>
          <w:lang w:val="en-US"/>
        </w:rPr>
        <w:t xml:space="preserve">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7BC33993" w:rsidR="00F25993" w:rsidRPr="00F25993" w:rsidRDefault="009549F1" w:rsidP="00F25993">
      <w:pPr>
        <w:spacing w:before="240" w:after="240"/>
      </w:pPr>
      <w:r>
        <w:t>2.</w:t>
      </w:r>
      <w:r w:rsidR="000B18EC">
        <w:t>10</w:t>
      </w:r>
      <w:r>
        <w:t xml:space="preserve"> </w:t>
      </w:r>
      <w:r w:rsidR="00711C38">
        <w:rPr>
          <w:lang w:val="en-US"/>
        </w:rPr>
        <w:t>The Martins</w:t>
      </w:r>
      <w:r w:rsidR="00EF7232" w:rsidRPr="008F0A6C">
        <w:rPr>
          <w:lang w:val="en-US"/>
        </w:rPr>
        <w:t xml:space="preserve"> Funeral Directors </w:t>
      </w:r>
      <w:r w:rsidR="007B3967" w:rsidRPr="00F25993">
        <w:t>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581CD41B" w14:textId="47736835" w:rsidR="002E2BC3" w:rsidRDefault="65580281" w:rsidP="002E2BC3">
      <w:pPr>
        <w:spacing w:before="240" w:after="240"/>
      </w:pPr>
      <w:r w:rsidRPr="0D80D5E3">
        <w:t>2.</w:t>
      </w:r>
      <w:r w:rsidR="00006CE5">
        <w:t>1</w:t>
      </w:r>
      <w:r w:rsidR="000B18EC">
        <w:t>1</w:t>
      </w:r>
      <w:r w:rsidR="007D25C4">
        <w:t xml:space="preserve"> </w:t>
      </w:r>
      <w:r w:rsidR="002E2BC3" w:rsidRPr="002E2BC3">
        <w:t>Applicants whose applications are not successful may reapply in a subsequent funding window, including another window within the same calendar year.</w:t>
      </w:r>
      <w:r w:rsidR="002E2BC3" w:rsidRPr="002E2BC3">
        <w:br/>
      </w:r>
      <w:r w:rsidR="002E2BC3" w:rsidRPr="002E2BC3">
        <w:lastRenderedPageBreak/>
        <w:t>Applicants who are awarded funding are not eligible to reapply again within the same calendar year.</w:t>
      </w:r>
      <w:r w:rsidR="002E2BC3"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758A7397"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711C38">
        <w:rPr>
          <w:lang w:val="en-US"/>
        </w:rPr>
        <w:t>The Martins</w:t>
      </w:r>
      <w:r w:rsidR="007D25C4" w:rsidRPr="008F0A6C">
        <w:rPr>
          <w:lang w:val="en-US"/>
        </w:rPr>
        <w:t xml:space="preserve"> Funeral Directors </w:t>
      </w:r>
      <w:r w:rsidRPr="006F669D">
        <w:t>for the duration of the minimum programme or initiative period, including participation in agreed monitoring or support activities.</w:t>
      </w:r>
    </w:p>
    <w:p w14:paraId="777189E3" w14:textId="77777777" w:rsidR="002F03E9"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p>
    <w:p w14:paraId="71ABB772" w14:textId="4F3CB875" w:rsidR="00407AE3" w:rsidRDefault="65580281" w:rsidP="0D80D5E3">
      <w:pPr>
        <w:spacing w:before="240" w:after="240"/>
      </w:pPr>
      <w:r w:rsidRPr="0D80D5E3">
        <w:t>2.</w:t>
      </w:r>
      <w:r w:rsidR="00052A7B">
        <w:t>1</w:t>
      </w:r>
      <w:r w:rsidR="0014160E">
        <w:t>5</w:t>
      </w:r>
      <w:r w:rsidRPr="0D80D5E3">
        <w:t xml:space="preserve"> The award of funding does not constitute endorsement, affiliation, or recommendation of the applicant’s services or activities by </w:t>
      </w:r>
      <w:r w:rsidR="00711C38">
        <w:rPr>
          <w:lang w:val="en-US"/>
        </w:rPr>
        <w:t>The Martins</w:t>
      </w:r>
      <w:r w:rsidR="002F03E9" w:rsidRPr="008F0A6C">
        <w:rPr>
          <w:lang w:val="en-US"/>
        </w:rPr>
        <w:t xml:space="preserve"> Funeral Directors</w:t>
      </w:r>
      <w:r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52FC1FDB"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711C38">
        <w:rPr>
          <w:lang w:val="en-US"/>
        </w:rPr>
        <w:t>The Martins</w:t>
      </w:r>
      <w:r w:rsidR="002F03E9" w:rsidRPr="008F0A6C">
        <w:rPr>
          <w:lang w:val="en-US"/>
        </w:rPr>
        <w:t xml:space="preserve"> Funeral Directors</w:t>
      </w:r>
      <w:r w:rsidRPr="0D80D5E3">
        <w:t>.</w:t>
      </w:r>
    </w:p>
    <w:p w14:paraId="77A05402" w14:textId="0596B1CD" w:rsidR="00407AE3" w:rsidRDefault="65580281" w:rsidP="0D80D5E3">
      <w:pPr>
        <w:spacing w:before="240" w:after="240"/>
      </w:pPr>
      <w:r w:rsidRPr="0D80D5E3">
        <w:t xml:space="preserve">3.3 Unspent or misapplied funds may be subject to recovery. </w:t>
      </w:r>
      <w:r w:rsidR="00711C38">
        <w:rPr>
          <w:lang w:val="en-US"/>
        </w:rPr>
        <w:t>The Martins</w:t>
      </w:r>
      <w:r w:rsidR="002F03E9" w:rsidRPr="008F0A6C">
        <w:rPr>
          <w:lang w:val="en-US"/>
        </w:rPr>
        <w:t xml:space="preserve"> Funeral Directors </w:t>
      </w:r>
      <w:r w:rsidR="00D46B92" w:rsidRPr="0D80D5E3">
        <w:t>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political activities;</w:t>
      </w:r>
    </w:p>
    <w:p w14:paraId="629736E9" w14:textId="77777777" w:rsidR="00953952" w:rsidRPr="00953952" w:rsidRDefault="00953952" w:rsidP="00953952">
      <w:pPr>
        <w:numPr>
          <w:ilvl w:val="0"/>
          <w:numId w:val="5"/>
        </w:numPr>
        <w:spacing w:before="240" w:after="240"/>
      </w:pPr>
      <w:r w:rsidRPr="00953952">
        <w:t>Illegal or harmful activities;</w:t>
      </w:r>
    </w:p>
    <w:p w14:paraId="5E227F68" w14:textId="77777777" w:rsidR="00953952" w:rsidRPr="00953952" w:rsidRDefault="00953952" w:rsidP="00953952">
      <w:pPr>
        <w:numPr>
          <w:ilvl w:val="0"/>
          <w:numId w:val="5"/>
        </w:numPr>
        <w:spacing w:before="240" w:after="240"/>
      </w:pPr>
      <w:r w:rsidRPr="00953952">
        <w:t>Personal benefit;</w:t>
      </w:r>
    </w:p>
    <w:p w14:paraId="6C7E8ECC" w14:textId="77777777" w:rsidR="00953952" w:rsidRPr="00953952" w:rsidRDefault="00953952" w:rsidP="00953952">
      <w:pPr>
        <w:numPr>
          <w:ilvl w:val="0"/>
          <w:numId w:val="5"/>
        </w:numPr>
        <w:spacing w:before="240" w:after="240"/>
      </w:pPr>
      <w:r w:rsidRPr="00953952">
        <w:t>Retrospective costs incurred before the award decision;</w:t>
      </w:r>
    </w:p>
    <w:p w14:paraId="4E391607" w14:textId="77777777" w:rsidR="00953952" w:rsidRPr="00953952" w:rsidRDefault="00953952" w:rsidP="00953952">
      <w:pPr>
        <w:numPr>
          <w:ilvl w:val="0"/>
          <w:numId w:val="5"/>
        </w:numPr>
        <w:spacing w:before="240" w:after="240"/>
      </w:pPr>
      <w:r w:rsidRPr="00953952">
        <w:lastRenderedPageBreak/>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0BBDCD82" w:rsidR="006A10B1" w:rsidRDefault="00CF3FAF" w:rsidP="00CF3FAF">
      <w:pPr>
        <w:spacing w:before="240" w:after="240"/>
      </w:pPr>
      <w:r>
        <w:t xml:space="preserve">3.8 </w:t>
      </w:r>
      <w:r w:rsidR="00711C38">
        <w:rPr>
          <w:lang w:val="en-US"/>
        </w:rPr>
        <w:t>The Martins</w:t>
      </w:r>
      <w:r w:rsidR="001610F9" w:rsidRPr="008F0A6C">
        <w:rPr>
          <w:lang w:val="en-US"/>
        </w:rPr>
        <w:t xml:space="preserve"> Funeral Directors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1221CCE9" w:rsidR="00407AE3" w:rsidRDefault="65580281" w:rsidP="0D80D5E3">
      <w:pPr>
        <w:spacing w:before="240" w:after="240"/>
      </w:pPr>
      <w:r w:rsidRPr="0D80D5E3">
        <w:t xml:space="preserve">4.1 </w:t>
      </w:r>
      <w:r w:rsidR="00711C38">
        <w:rPr>
          <w:lang w:val="en-US"/>
        </w:rPr>
        <w:t>The Martins</w:t>
      </w:r>
      <w:r w:rsidR="001610F9" w:rsidRPr="008F0A6C">
        <w:rPr>
          <w:lang w:val="en-US"/>
        </w:rPr>
        <w:t xml:space="preserve"> 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0349DC17"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711C38">
        <w:rPr>
          <w:lang w:val="en-US"/>
        </w:rPr>
        <w:t>The Martins</w:t>
      </w:r>
      <w:r w:rsidR="00340B11" w:rsidRPr="008F0A6C">
        <w:rPr>
          <w:lang w:val="en-US"/>
        </w:rPr>
        <w:t xml:space="preserve"> Funeral Directors </w:t>
      </w:r>
      <w:r w:rsidRPr="005F25DB">
        <w:t>reserves the right to determine what constitutes valid extenuating circumstances.</w:t>
      </w:r>
    </w:p>
    <w:p w14:paraId="10A66A4C" w14:textId="799A601D" w:rsidR="00407AE3" w:rsidRDefault="005F25DB" w:rsidP="005F25DB">
      <w:pPr>
        <w:spacing w:before="240" w:after="240"/>
      </w:pPr>
      <w:r w:rsidRPr="005F25DB">
        <w:t xml:space="preserve">5.4 Where extenuating circumstances are accepted, </w:t>
      </w:r>
      <w:r w:rsidR="00711C38">
        <w:rPr>
          <w:lang w:val="en-US"/>
        </w:rPr>
        <w:t>The Martins</w:t>
      </w:r>
      <w:r w:rsidR="00340B11" w:rsidRPr="008F0A6C">
        <w:rPr>
          <w:lang w:val="en-US"/>
        </w:rPr>
        <w:t xml:space="preserve"> 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0E989636" w:rsidR="00407AE3" w:rsidRDefault="005F25DB" w:rsidP="0D80D5E3">
      <w:pPr>
        <w:spacing w:before="240" w:after="240"/>
      </w:pPr>
      <w:r>
        <w:t>6</w:t>
      </w:r>
      <w:r w:rsidR="65580281" w:rsidRPr="0D80D5E3">
        <w:t xml:space="preserve">.1 </w:t>
      </w:r>
      <w:r w:rsidR="00711C38">
        <w:rPr>
          <w:lang w:val="en-US"/>
        </w:rPr>
        <w:t>The Martins</w:t>
      </w:r>
      <w:r w:rsidR="00A86232" w:rsidRPr="008F0A6C">
        <w:rPr>
          <w:lang w:val="en-US"/>
        </w:rPr>
        <w:t xml:space="preserve"> Funeral </w:t>
      </w:r>
      <w:r w:rsidR="00A86232" w:rsidRPr="00A86232">
        <w:rPr>
          <w:lang w:val="en-US"/>
        </w:rPr>
        <w:t xml:space="preserve">Directors </w:t>
      </w:r>
      <w:r w:rsidR="00B72FD3" w:rsidRPr="00A86232">
        <w:t>or Funeral Partners</w:t>
      </w:r>
      <w:r w:rsidR="00000647" w:rsidRPr="00A86232">
        <w:t xml:space="preserve"> Limited </w:t>
      </w:r>
      <w:r w:rsidR="00B72FD3" w:rsidRPr="00A86232">
        <w:t>may</w:t>
      </w:r>
      <w:r w:rsidR="00B72FD3">
        <w:t xml:space="preserve">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the award on social media, websites, or printed materials;</w:t>
      </w:r>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732CB3AF" w:rsidR="00B72FD3" w:rsidRDefault="00B72FD3" w:rsidP="00EC166A">
      <w:pPr>
        <w:spacing w:before="240" w:after="240"/>
      </w:pPr>
      <w:r>
        <w:t>Applicant</w:t>
      </w:r>
      <w:r w:rsidR="00000647">
        <w:t>s</w:t>
      </w:r>
      <w:r>
        <w:t xml:space="preserve"> should inform </w:t>
      </w:r>
      <w:r w:rsidR="00711C38">
        <w:rPr>
          <w:lang w:val="en-US"/>
        </w:rPr>
        <w:t>The Martins</w:t>
      </w:r>
      <w:r w:rsidR="00FB69BF" w:rsidRPr="008F0A6C">
        <w:rPr>
          <w:lang w:val="en-US"/>
        </w:rPr>
        <w:t xml:space="preserve"> Funeral Directors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6BF6F671"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711C38">
        <w:rPr>
          <w:lang w:val="en-US"/>
        </w:rPr>
        <w:t xml:space="preserve">The Martins </w:t>
      </w:r>
      <w:r w:rsidR="00653001" w:rsidRPr="008F0A6C">
        <w:rPr>
          <w:lang w:val="en-US"/>
        </w:rPr>
        <w:t xml:space="preserve">Funeral Directors </w:t>
      </w:r>
      <w:r w:rsidR="65580281" w:rsidRPr="0D80D5E3">
        <w:t>name, logo, or branding without explicit written permission</w:t>
      </w:r>
      <w:r w:rsidR="006574B6">
        <w:t xml:space="preserve"> from </w:t>
      </w:r>
      <w:r w:rsidR="00711C38">
        <w:rPr>
          <w:lang w:val="en-US"/>
        </w:rPr>
        <w:t>The Martins</w:t>
      </w:r>
      <w:r w:rsidR="00653001" w:rsidRPr="008F0A6C">
        <w:rPr>
          <w:lang w:val="en-US"/>
        </w:rPr>
        <w:t xml:space="preserve"> Funeral Directors</w:t>
      </w:r>
      <w:r w:rsidR="65580281" w:rsidRPr="0D80D5E3">
        <w:t>.</w:t>
      </w:r>
    </w:p>
    <w:p w14:paraId="7566C972" w14:textId="6EFE50F6"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3745EA">
        <w:t xml:space="preserve"> </w:t>
      </w:r>
      <w:r w:rsidR="00711C38" w:rsidRPr="00711C38">
        <w:t>https://www.themartinsfuneraldirectors.co.uk/privacy-policy/</w:t>
      </w:r>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6D6602A4" w:rsidR="005F25DB" w:rsidRDefault="005F25DB" w:rsidP="0D80D5E3">
      <w:pPr>
        <w:spacing w:before="240" w:after="240"/>
      </w:pPr>
      <w:r>
        <w:t>7</w:t>
      </w:r>
      <w:r w:rsidR="65580281" w:rsidRPr="0D80D5E3">
        <w:t xml:space="preserve">.3 </w:t>
      </w:r>
      <w:r w:rsidR="00711C38">
        <w:rPr>
          <w:lang w:val="en-US"/>
        </w:rPr>
        <w:t>The Martins</w:t>
      </w:r>
      <w:r w:rsidR="003745EA" w:rsidRPr="008F0A6C">
        <w:rPr>
          <w:lang w:val="en-US"/>
        </w:rPr>
        <w:t xml:space="preserve"> Funeral </w:t>
      </w:r>
      <w:r w:rsidR="003745EA" w:rsidRPr="00A86232">
        <w:rPr>
          <w:lang w:val="en-US"/>
        </w:rPr>
        <w:t xml:space="preserve">Directors </w:t>
      </w:r>
      <w:r w:rsidR="65580281" w:rsidRPr="0D80D5E3">
        <w:t>reserves the right to amend these Terms &amp; Conditions at any time. Updated versions will be published or provided as necessary.</w:t>
      </w:r>
    </w:p>
    <w:p w14:paraId="57FBCB79" w14:textId="5DD13A91" w:rsidR="005C34F5" w:rsidRDefault="00401CEC" w:rsidP="00B86082">
      <w:pPr>
        <w:spacing w:before="240" w:after="240"/>
      </w:pPr>
      <w:r>
        <w:t xml:space="preserve">7.4 </w:t>
      </w:r>
      <w:r w:rsidR="00711C38">
        <w:rPr>
          <w:lang w:val="en-US"/>
        </w:rPr>
        <w:t>The Martins</w:t>
      </w:r>
      <w:r w:rsidR="003745EA" w:rsidRPr="008F0A6C">
        <w:rPr>
          <w:lang w:val="en-US"/>
        </w:rPr>
        <w:t xml:space="preserve"> Funeral </w:t>
      </w:r>
      <w:r w:rsidR="003745EA" w:rsidRPr="00A86232">
        <w:rPr>
          <w:lang w:val="en-US"/>
        </w:rPr>
        <w:t xml:space="preserve">Directors </w:t>
      </w:r>
      <w:r w:rsidR="00B86082" w:rsidRPr="00EC166A">
        <w:t>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r>
      <w:r w:rsidRPr="00EC166A">
        <w:lastRenderedPageBreak/>
        <w:t>• the organisation becomes insolvent or is reasonably considered to be at risk of insolvency.</w:t>
      </w:r>
    </w:p>
    <w:p w14:paraId="16C5A38B" w14:textId="76706ECC" w:rsidR="00407AE3" w:rsidRPr="003745EA" w:rsidRDefault="005F25DB" w:rsidP="0D80D5E3">
      <w:pPr>
        <w:spacing w:before="240" w:after="240"/>
      </w:pPr>
      <w:r>
        <w:t>7</w:t>
      </w:r>
      <w:r w:rsidR="65580281" w:rsidRPr="0D80D5E3">
        <w:t xml:space="preserve">.4 By submitting an application, applicants confirm their acceptance of these Terms &amp; </w:t>
      </w:r>
      <w:r w:rsidR="65580281" w:rsidRPr="003745EA">
        <w:t>Conditions in full.</w:t>
      </w:r>
    </w:p>
    <w:p w14:paraId="50AD39BF" w14:textId="7D948831" w:rsidR="00B36B87" w:rsidRDefault="00B36B87" w:rsidP="00972441">
      <w:pPr>
        <w:spacing w:before="240" w:after="240"/>
      </w:pPr>
      <w:r w:rsidRPr="003745EA">
        <w:t xml:space="preserve">7.5 </w:t>
      </w:r>
      <w:r w:rsidR="000F369E" w:rsidRPr="003745EA">
        <w:t xml:space="preserve"> </w:t>
      </w:r>
      <w:r w:rsidR="00711C38">
        <w:rPr>
          <w:lang w:val="en-US"/>
        </w:rPr>
        <w:t>The Martins</w:t>
      </w:r>
      <w:r w:rsidR="003745EA" w:rsidRPr="003745EA">
        <w:rPr>
          <w:lang w:val="en-US"/>
        </w:rPr>
        <w:t xml:space="preserve"> Funeral Directors </w:t>
      </w:r>
      <w:r w:rsidR="001D11A7" w:rsidRPr="003745EA">
        <w:t xml:space="preserve">is a trading name of </w:t>
      </w:r>
      <w:r w:rsidR="001D11A7" w:rsidRPr="002C3D82">
        <w:t>Funeral Partners Limited</w:t>
      </w:r>
      <w:r w:rsidR="00972441" w:rsidRPr="003745EA">
        <w:t>, company number 08635411</w:t>
      </w:r>
      <w:r w:rsidR="00CB6C13" w:rsidRPr="003745EA">
        <w:rPr>
          <w:rFonts w:ascii="Arial" w:hAnsi="Arial" w:cs="Arial"/>
          <w:color w:val="000000"/>
          <w:sz w:val="29"/>
          <w:szCs w:val="29"/>
          <w:bdr w:val="none" w:sz="0" w:space="0" w:color="auto" w:frame="1"/>
          <w:shd w:val="clear" w:color="auto" w:fill="FFFFFF"/>
        </w:rPr>
        <w:t xml:space="preserve"> </w:t>
      </w:r>
      <w:r w:rsidR="00972441" w:rsidRPr="003745EA">
        <w:t xml:space="preserve">and registered office at 80 Mount Street, Nottingham, NG1 6HH. </w:t>
      </w:r>
      <w:r w:rsidR="000F369E" w:rsidRPr="003745EA">
        <w:t>These Terms are governed by</w:t>
      </w:r>
      <w:r w:rsidR="000F369E" w:rsidRPr="000F369E">
        <w:t xml:space="preserve"> English law</w:t>
      </w:r>
      <w:r w:rsidR="001D11A7">
        <w:t>.</w:t>
      </w:r>
      <w:r w:rsidR="00F81F51">
        <w:t xml:space="preserve"> </w:t>
      </w:r>
      <w:r w:rsidR="000F369E" w:rsidRPr="000F369E">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07CCD"/>
    <w:rsid w:val="00010645"/>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610F9"/>
    <w:rsid w:val="001902F9"/>
    <w:rsid w:val="00191F8A"/>
    <w:rsid w:val="001D11A7"/>
    <w:rsid w:val="001D5D6F"/>
    <w:rsid w:val="001D6859"/>
    <w:rsid w:val="002144D1"/>
    <w:rsid w:val="002269AE"/>
    <w:rsid w:val="002542EA"/>
    <w:rsid w:val="00264D39"/>
    <w:rsid w:val="002B3A67"/>
    <w:rsid w:val="002C3D82"/>
    <w:rsid w:val="002E2BC3"/>
    <w:rsid w:val="002F03E9"/>
    <w:rsid w:val="002F624D"/>
    <w:rsid w:val="00315B2C"/>
    <w:rsid w:val="00316B58"/>
    <w:rsid w:val="00334F38"/>
    <w:rsid w:val="00340B11"/>
    <w:rsid w:val="00342807"/>
    <w:rsid w:val="00360773"/>
    <w:rsid w:val="00360F64"/>
    <w:rsid w:val="00362D43"/>
    <w:rsid w:val="003745EA"/>
    <w:rsid w:val="003F35EF"/>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07EAB"/>
    <w:rsid w:val="00517507"/>
    <w:rsid w:val="00517F0E"/>
    <w:rsid w:val="005612A5"/>
    <w:rsid w:val="005766E6"/>
    <w:rsid w:val="00577990"/>
    <w:rsid w:val="005B0923"/>
    <w:rsid w:val="005C34F5"/>
    <w:rsid w:val="005F1521"/>
    <w:rsid w:val="005F25DB"/>
    <w:rsid w:val="006208D7"/>
    <w:rsid w:val="00632492"/>
    <w:rsid w:val="00653001"/>
    <w:rsid w:val="006574B6"/>
    <w:rsid w:val="00674C25"/>
    <w:rsid w:val="00697EF5"/>
    <w:rsid w:val="006A10B1"/>
    <w:rsid w:val="006C44D4"/>
    <w:rsid w:val="006F669D"/>
    <w:rsid w:val="00711C38"/>
    <w:rsid w:val="00712F5B"/>
    <w:rsid w:val="007816A0"/>
    <w:rsid w:val="00795B9D"/>
    <w:rsid w:val="007A73C2"/>
    <w:rsid w:val="007B0CC3"/>
    <w:rsid w:val="007B3967"/>
    <w:rsid w:val="007C2D97"/>
    <w:rsid w:val="007D25C4"/>
    <w:rsid w:val="007E16C9"/>
    <w:rsid w:val="007F05CA"/>
    <w:rsid w:val="007F1C3C"/>
    <w:rsid w:val="0080594C"/>
    <w:rsid w:val="00830132"/>
    <w:rsid w:val="00891BD9"/>
    <w:rsid w:val="008B63EF"/>
    <w:rsid w:val="008B6C33"/>
    <w:rsid w:val="008C09AC"/>
    <w:rsid w:val="008E1120"/>
    <w:rsid w:val="008E22B0"/>
    <w:rsid w:val="008E3FB4"/>
    <w:rsid w:val="008F0A6C"/>
    <w:rsid w:val="00903909"/>
    <w:rsid w:val="00953952"/>
    <w:rsid w:val="009549F1"/>
    <w:rsid w:val="00955A0F"/>
    <w:rsid w:val="00972441"/>
    <w:rsid w:val="00972B45"/>
    <w:rsid w:val="00984414"/>
    <w:rsid w:val="009A3C01"/>
    <w:rsid w:val="009D3156"/>
    <w:rsid w:val="00A10312"/>
    <w:rsid w:val="00A11477"/>
    <w:rsid w:val="00A17D77"/>
    <w:rsid w:val="00A3061F"/>
    <w:rsid w:val="00A32B02"/>
    <w:rsid w:val="00A61698"/>
    <w:rsid w:val="00A70AF9"/>
    <w:rsid w:val="00A86232"/>
    <w:rsid w:val="00AC39F0"/>
    <w:rsid w:val="00AF069C"/>
    <w:rsid w:val="00AF7A21"/>
    <w:rsid w:val="00B21D10"/>
    <w:rsid w:val="00B36B87"/>
    <w:rsid w:val="00B51133"/>
    <w:rsid w:val="00B67B4A"/>
    <w:rsid w:val="00B72FD3"/>
    <w:rsid w:val="00B86082"/>
    <w:rsid w:val="00B906CF"/>
    <w:rsid w:val="00B9080B"/>
    <w:rsid w:val="00B97E4E"/>
    <w:rsid w:val="00BB5008"/>
    <w:rsid w:val="00BC6287"/>
    <w:rsid w:val="00C647F4"/>
    <w:rsid w:val="00C9078C"/>
    <w:rsid w:val="00C96563"/>
    <w:rsid w:val="00CB6C13"/>
    <w:rsid w:val="00CD2278"/>
    <w:rsid w:val="00CD40EA"/>
    <w:rsid w:val="00CD6D9C"/>
    <w:rsid w:val="00CE0ED5"/>
    <w:rsid w:val="00CF3FAF"/>
    <w:rsid w:val="00D12B35"/>
    <w:rsid w:val="00D23B6B"/>
    <w:rsid w:val="00D2558A"/>
    <w:rsid w:val="00D46B92"/>
    <w:rsid w:val="00D54157"/>
    <w:rsid w:val="00DA688E"/>
    <w:rsid w:val="00DB7ABE"/>
    <w:rsid w:val="00DD24E8"/>
    <w:rsid w:val="00DD5613"/>
    <w:rsid w:val="00DE2181"/>
    <w:rsid w:val="00E207C7"/>
    <w:rsid w:val="00E241F9"/>
    <w:rsid w:val="00E879F1"/>
    <w:rsid w:val="00EB7D9B"/>
    <w:rsid w:val="00EC166A"/>
    <w:rsid w:val="00EF7232"/>
    <w:rsid w:val="00F17631"/>
    <w:rsid w:val="00F25993"/>
    <w:rsid w:val="00F70BCE"/>
    <w:rsid w:val="00F77921"/>
    <w:rsid w:val="00F81F51"/>
    <w:rsid w:val="00F83A7C"/>
    <w:rsid w:val="00F87279"/>
    <w:rsid w:val="00FA5A1F"/>
    <w:rsid w:val="00FB69B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1D609-4FF0-4CAE-96BE-0C17FCB7DF04}">
  <ds:schemaRefs>
    <ds:schemaRef ds:uri="http://schemas.microsoft.com/office/2006/metadata/properties"/>
    <ds:schemaRef ds:uri="http://schemas.microsoft.com/office/infopath/2007/PartnerControls"/>
    <ds:schemaRef ds:uri="7ab3d2e0-c03d-4bc5-ac59-94c420159a6f"/>
  </ds:schemaRefs>
</ds:datastoreItem>
</file>

<file path=customXml/itemProps2.xml><?xml version="1.0" encoding="utf-8"?>
<ds:datastoreItem xmlns:ds="http://schemas.openxmlformats.org/officeDocument/2006/customXml" ds:itemID="{B6A10482-21E1-47A9-B3E8-D15D900201EC}">
  <ds:schemaRefs>
    <ds:schemaRef ds:uri="http://schemas.microsoft.com/sharepoint/v3/contenttype/forms"/>
  </ds:schemaRefs>
</ds:datastoreItem>
</file>

<file path=customXml/itemProps3.xml><?xml version="1.0" encoding="utf-8"?>
<ds:datastoreItem xmlns:ds="http://schemas.openxmlformats.org/officeDocument/2006/customXml" ds:itemID="{0FEBEB37-ED32-495D-BDCC-F416E9D7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d2e0-c03d-4bc5-ac59-94c42015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1501</Words>
  <Characters>8965</Characters>
  <Application>Microsoft Office Word</Application>
  <DocSecurity>0</DocSecurity>
  <Lines>160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Gemma Taylor</cp:lastModifiedBy>
  <cp:revision>3</cp:revision>
  <dcterms:created xsi:type="dcterms:W3CDTF">2026-06-03T11:35:00Z</dcterms:created>
  <dcterms:modified xsi:type="dcterms:W3CDTF">2026-06-03T11:43:00Z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ies>
</file>